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pacing w:before="240" w:after="480"/>
        <w:contextualSpacing/>
        <w:rPr/>
      </w:pPr>
      <w:r>
        <w:rPr/>
        <w:t>Adatkezelői nyilvántartás</w:t>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4110"/>
        <w:gridCol w:w="4961"/>
      </w:tblGrid>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neve:</w:t>
            </w:r>
            <w:r>
              <w:rPr>
                <w:i/>
                <w:kern w:val="0"/>
                <w:sz w:val="20"/>
                <w:szCs w:val="22"/>
                <w:lang w:val="hu-HU" w:bidi="ar-SA"/>
              </w:rPr>
              <w:t xml:space="preserve"> </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Bajna Község Önkormányzata</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elérhetőségei:</w:t>
            </w:r>
          </w:p>
          <w:p>
            <w:pPr>
              <w:pStyle w:val="NoSpacing"/>
              <w:widowControl/>
              <w:spacing w:before="0" w:after="0"/>
              <w:contextualSpacing/>
              <w:rPr>
                <w:kern w:val="0"/>
                <w:sz w:val="20"/>
                <w:szCs w:val="22"/>
                <w:lang w:val="hu-HU" w:bidi="ar-SA"/>
              </w:rPr>
            </w:pPr>
            <w:r>
              <w:rPr>
                <w:kern w:val="0"/>
                <w:sz w:val="20"/>
                <w:szCs w:val="22"/>
                <w:lang w:val="hu-HU" w:bidi="ar-SA"/>
              </w:rPr>
            </w:r>
          </w:p>
        </w:tc>
        <w:tc>
          <w:tcPr>
            <w:tcW w:w="4961" w:type="dxa"/>
            <w:tcBorders/>
            <w:shd w:color="auto" w:fill="auto" w:val="clear"/>
          </w:tcPr>
          <w:p>
            <w:pPr>
              <w:pStyle w:val="NoSpacing"/>
              <w:widowControl/>
              <w:spacing w:before="0" w:after="0"/>
              <w:contextualSpacing/>
              <w:rPr/>
            </w:pPr>
            <w:r>
              <w:rPr>
                <w:kern w:val="0"/>
                <w:sz w:val="20"/>
                <w:szCs w:val="22"/>
                <w:lang w:val="hu-HU" w:bidi="ar-SA"/>
              </w:rPr>
              <w:t xml:space="preserve">2525 Bajna, Kossuth L. u. 1., </w:t>
            </w:r>
            <w:hyperlink r:id="rId2">
              <w:r>
                <w:rPr>
                  <w:rStyle w:val="Internethivatkozs"/>
                  <w:rFonts w:eastAsia="" w:eastAsiaTheme="majorEastAsia"/>
                  <w:kern w:val="0"/>
                  <w:sz w:val="20"/>
                  <w:szCs w:val="22"/>
                  <w:lang w:val="hu-HU" w:bidi="ar-SA"/>
                </w:rPr>
                <w:t>bajna@bajna.hu</w:t>
              </w:r>
            </w:hyperlink>
            <w:r>
              <w:rPr>
                <w:rStyle w:val="Internethivatkozs"/>
                <w:rFonts w:eastAsia="" w:eastAsiaTheme="majorEastAsia"/>
                <w:kern w:val="0"/>
                <w:sz w:val="20"/>
                <w:szCs w:val="22"/>
                <w:lang w:val="hu-HU" w:bidi="ar-SA"/>
              </w:rPr>
              <w:t xml:space="preserve">, </w:t>
            </w:r>
            <w:r>
              <w:rPr>
                <w:kern w:val="0"/>
                <w:sz w:val="20"/>
                <w:szCs w:val="22"/>
                <w:lang w:val="hu-HU" w:bidi="ar-SA"/>
              </w:rPr>
              <w:t>+36 33 506 110</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tisztviselő neve:</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shd w:fill="auto" w:val="clear"/>
                <w:lang w:val="hu-HU" w:bidi="ar-SA"/>
              </w:rPr>
              <w:t>HANGANOV KFT.-</w:t>
            </w:r>
            <w:r>
              <w:rPr>
                <w:kern w:val="0"/>
                <w:sz w:val="20"/>
                <w:szCs w:val="22"/>
                <w:lang w:val="hu-HU" w:bidi="ar-SA"/>
              </w:rPr>
              <w:t xml:space="preserve"> Dr. </w:t>
            </w:r>
            <w:r>
              <w:rPr>
                <w:rFonts w:eastAsia="Times New Roman" w:cs="Times New Roman"/>
                <w:color w:val="00000A"/>
                <w:kern w:val="0"/>
                <w:sz w:val="20"/>
                <w:szCs w:val="22"/>
                <w:lang w:val="hu-HU" w:eastAsia="hu-HU" w:bidi="ar-SA"/>
              </w:rPr>
              <w:t>Török Tamás Sándor</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tisztviselő elérhetősége:</w:t>
            </w:r>
          </w:p>
        </w:tc>
        <w:tc>
          <w:tcPr>
            <w:tcW w:w="4961" w:type="dxa"/>
            <w:tcBorders/>
            <w:shd w:color="auto" w:fill="auto" w:val="clear"/>
          </w:tcPr>
          <w:p>
            <w:pPr>
              <w:pStyle w:val="Normal"/>
              <w:widowControl/>
              <w:spacing w:before="0" w:after="0"/>
              <w:contextualSpacing/>
              <w:rPr>
                <w:kern w:val="0"/>
                <w:sz w:val="20"/>
                <w:szCs w:val="22"/>
                <w:lang w:val="hu-HU" w:bidi="ar-SA"/>
              </w:rPr>
            </w:pPr>
            <w:r>
              <w:rPr>
                <w:kern w:val="0"/>
                <w:sz w:val="20"/>
                <w:szCs w:val="22"/>
                <w:lang w:val="hu-HU" w:bidi="ar-SA"/>
              </w:rPr>
              <w:t>drtorok.tamas@hanganov.hu</w:t>
            </w:r>
            <w:r>
              <w:rPr>
                <w:kern w:val="0"/>
                <w:sz w:val="20"/>
                <w:szCs w:val="22"/>
                <w:lang w:val="hu-HU" w:bidi="ar-SA"/>
              </w:rPr>
              <w:t xml:space="preserve"> </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nyilvántartás legutolsó módosításának dátuma:</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fldChar w:fldCharType="begin"/>
            </w:r>
            <w:r>
              <w:rPr>
                <w:sz w:val="20"/>
                <w:kern w:val="0"/>
                <w:szCs w:val="22"/>
                <w:lang w:val="hu-HU" w:bidi="ar-SA"/>
              </w:rPr>
              <w:instrText> TIME \@"yyyy'. 'MMMM\ d\." </w:instrText>
            </w:r>
            <w:r>
              <w:rPr>
                <w:sz w:val="20"/>
                <w:kern w:val="0"/>
                <w:szCs w:val="22"/>
                <w:lang w:val="hu-HU" w:bidi="ar-SA"/>
              </w:rPr>
              <w:fldChar w:fldCharType="separate"/>
            </w:r>
            <w:r>
              <w:rPr>
                <w:sz w:val="20"/>
                <w:kern w:val="0"/>
                <w:szCs w:val="22"/>
                <w:lang w:val="hu-HU" w:bidi="ar-SA"/>
              </w:rPr>
              <w:t>2022. January 13.</w:t>
            </w:r>
            <w:r>
              <w:rPr>
                <w:sz w:val="20"/>
                <w:kern w:val="0"/>
                <w:szCs w:val="22"/>
                <w:lang w:val="hu-HU" w:bidi="ar-SA"/>
              </w:rPr>
              <w:fldChar w:fldCharType="end"/>
            </w:r>
          </w:p>
        </w:tc>
      </w:tr>
    </w:tbl>
    <w:p>
      <w:pPr>
        <w:pStyle w:val="Normal"/>
        <w:rPr/>
      </w:pPr>
      <w:r>
        <w:rPr/>
      </w:r>
    </w:p>
    <w:p>
      <w:pPr>
        <w:pStyle w:val="Normal"/>
        <w:rPr/>
      </w:pPr>
      <w:r>
        <w:rPr/>
        <w:t xml:space="preserve">Jelen dokumentum célja, hogy az Európai Parlament és a Tanács 2016. április 27.-én kiadott, 2018. május 25.-től hatályos, a természetes személyeknek a személyes adatok kezelése tekintetében történő védelméről és az ilyen adatok szabad áramlásáról, valamint a 95/46/EK rendelet </w:t>
      </w:r>
      <w:r>
        <w:rPr>
          <w:rStyle w:val="ListLabel95"/>
        </w:rPr>
        <w:t>hatályon</w:t>
      </w:r>
      <w:r>
        <w:rPr/>
        <w:t xml:space="preserve"> kívül helyezéséről szóló (EU) 2016/679 rendelete (GDPR: General Data Protection Regulation – általános adatvédelmi rendelet) 30. cikkének (1) bekezdésében, valamint az információs önrendelkezési jogról és az információszabadságról szóló 2011. évi CXII. törvényben (Info tv.) foglalt előírásoknak megfelelően az Adatkezelő, az általa a felelősségébe tartozóan végzett adatkezelési tevékenységekről történő nyilvántartás vezetési kötelezettségének teljesítését biztosítsa.</w:t>
      </w:r>
    </w:p>
    <w:p>
      <w:pPr>
        <w:pStyle w:val="Normal"/>
        <w:rPr/>
      </w:pPr>
      <w:r>
        <w:rPr/>
        <w:t>Az adatkezelői nyilvántartás tartalmazza az Adatkezelő mindenkori, aktuálisan folytatott adatkezeléseiről egyesével a fenti jogszabályi követelményeknek megfelelő információkat. A nyilvántartás aktualizálásáról és mindenkori hatályos változatának papír alapon történő megőrzéséről Adatkezelő köteles gondoskodni.</w:t>
      </w:r>
    </w:p>
    <w:p>
      <w:pPr>
        <w:pStyle w:val="Normal"/>
        <w:rPr/>
      </w:pPr>
      <w:r>
        <w:rPr/>
        <w:t>A változások átvezetésének időpontját jelen oldal tetején szereplő táblázatban a nyilvántartás legutolsó módosításának dátuma jelzi.</w:t>
      </w:r>
    </w:p>
    <w:p>
      <w:pPr>
        <w:pStyle w:val="Normal"/>
        <w:spacing w:before="0" w:after="0"/>
        <w:jc w:val="left"/>
        <w:textAlignment w:val="auto"/>
        <w:rPr/>
      </w:pPr>
      <w:r>
        <w:rPr/>
      </w:r>
      <w:r>
        <w:br w:type="page"/>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10"/>
        <w:gridCol w:w="6961"/>
      </w:tblGrid>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6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Térfigyelő- és rögzítő rendszer adatai</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Közterületen közbiztonság biztosítása, bűnmegelőzés, bűnüldözés támogatása.</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megfigyelt közterületre belépő, illetve gépjárművel behajtó személyek.</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rögzített felvételeken felismerhetők a megfigyelt közterületre belépő személyek, illetve gépjárművek azonosításához szükséges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 felvételen látható személyek képmása,</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 megfigyelt közterületre behajtó gépjárművek rendszáma.</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a szabálysértési eljárásra jogosult szerv, illetve büntetőeljárásban a bíróság, az ügyészség, a nyomozó hatóság, az előkészítő eljárást folytató szerv megkeresésére vagy adatkérésére, illetve a felvételen szereplő személy kérelmére történhet az eljáró hatóság felé.</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 Rendőrségről szóló 1994. évi XXXIV. törvény alapján jogszabályon alapul.</w:t>
            </w:r>
          </w:p>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eastAsia="en-US" w:bidi="ar-SA"/>
              </w:rPr>
              <w:t xml:space="preserve">A rögzített felvételek törlése a digitális videorögzítő eszköz (DVR) beállításainak megfelelően </w:t>
            </w:r>
            <w:r>
              <w:rPr>
                <w:kern w:val="0"/>
                <w:sz w:val="20"/>
                <w:szCs w:val="22"/>
                <w:highlight w:val="yellow"/>
                <w:lang w:val="hu-HU" w:eastAsia="en-US" w:bidi="ar-SA"/>
              </w:rPr>
              <w:t>egyéb jogszabályi rendelkezés hiányában</w:t>
            </w:r>
            <w:r>
              <w:rPr>
                <w:kern w:val="0"/>
                <w:sz w:val="20"/>
                <w:szCs w:val="22"/>
                <w:lang w:val="hu-HU" w:eastAsia="en-US" w:bidi="ar-SA"/>
              </w:rPr>
              <w:t xml:space="preserve"> a jogszabályban előírt </w:t>
            </w:r>
            <w:r>
              <w:rPr>
                <w:kern w:val="0"/>
                <w:sz w:val="20"/>
                <w:szCs w:val="22"/>
                <w:highlight w:val="yellow"/>
                <w:lang w:val="hu-HU" w:eastAsia="en-US" w:bidi="ar-SA"/>
              </w:rPr>
              <w:t>maximum</w:t>
            </w:r>
            <w:bookmarkStart w:id="0" w:name="_GoBack"/>
            <w:bookmarkEnd w:id="0"/>
            <w:r>
              <w:rPr>
                <w:kern w:val="0"/>
                <w:sz w:val="20"/>
                <w:szCs w:val="22"/>
                <w:lang w:val="hu-HU" w:eastAsia="en-US" w:bidi="ar-SA"/>
              </w:rPr>
              <w:t xml:space="preserve"> 30 nap elteltével valósul meg.</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térfigyelő és rögzítő rendszer hozzáférés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t>Az élő kameraképhez a polgárőrség megbízott polgárőr tagja(i), emellett a rögzített felvételekhez kizárólag az erre jogosult hatósági személyek férhetnek hozzá.</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p>
      <w:pPr>
        <w:pStyle w:val="Normal"/>
        <w:spacing w:before="0" w:after="0"/>
        <w:jc w:val="left"/>
        <w:textAlignment w:val="auto"/>
        <w:rPr/>
      </w:pPr>
      <w:r>
        <w:rPr/>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550"/>
        <w:gridCol w:w="6521"/>
      </w:tblGrid>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5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Weboldalon, közösségi média felületen megjelenített kép- és videófelvételek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521" w:type="dxa"/>
            <w:tcBorders/>
            <w:shd w:color="auto" w:fill="auto" w:val="clear"/>
          </w:tcPr>
          <w:p>
            <w:pPr>
              <w:pStyle w:val="Normal"/>
              <w:widowControl/>
              <w:spacing w:before="120" w:after="120"/>
              <w:rPr>
                <w:szCs w:val="20"/>
              </w:rPr>
            </w:pPr>
            <w:r>
              <w:rPr>
                <w:kern w:val="0"/>
                <w:sz w:val="20"/>
                <w:szCs w:val="20"/>
                <w:lang w:val="hu-HU" w:bidi="ar-SA"/>
              </w:rPr>
              <w:t>A weboldal, illetve közösségi média felület látogatóinak tájékoztatása.</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felvételeken szereplő, azonosítható, felismerhető természetes személyek.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521" w:type="dxa"/>
            <w:tcBorders/>
            <w:shd w:color="auto" w:fill="auto" w:val="clear"/>
          </w:tcPr>
          <w:p>
            <w:pPr>
              <w:pStyle w:val="Szvegtrzs"/>
              <w:widowControl/>
              <w:tabs>
                <w:tab w:val="clear" w:pos="708"/>
                <w:tab w:val="left" w:pos="0" w:leader="none"/>
              </w:tabs>
              <w:spacing w:before="0" w:after="0"/>
              <w:rPr>
                <w:rFonts w:ascii="Times New Roman" w:hAnsi="Times New Roman" w:cs="Times New Roman"/>
                <w:sz w:val="20"/>
                <w:szCs w:val="20"/>
              </w:rPr>
            </w:pPr>
            <w:r>
              <w:rPr>
                <w:rFonts w:cs="Times New Roman" w:ascii="Times New Roman" w:hAnsi="Times New Roman"/>
                <w:sz w:val="20"/>
                <w:szCs w:val="20"/>
                <w:lang w:val="hu-HU"/>
              </w:rPr>
              <w:t>Természetes személyek képmása.</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információs önrendelkezési jogról és az információszabadságról szóló 2011. évi CXII. törvényben, illetve a GDPR 6. cikk 1. a) pontjában előírtak szerint önkéntes hozzájáruláson alapul.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érintett hozzájárulásának visszavonását (törlés kérése) követően egy napon belül.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weboldal, illetve a közösségi média felület adminisztrációs felülete, valamint a weboldalt, illetve a közösségi média felületet kiszolgáló informatikai erőforrások hozzáférési és jogosultsági rendszerrel védettek.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6"/>
        <w:gridCol w:w="6925"/>
      </w:tblGrid>
      <w:tr>
        <w:trPr/>
        <w:tc>
          <w:tcPr>
            <w:tcW w:w="2146"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5"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Érdeklődés, kapcsolatfelvétel során kezelt személyes adatok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érdeklődő tájékoztatásának biztosítása.</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Adatkezelővel kapcsolatba lépő természetes, illetve jogi személyek.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kapcsolattartásra az alábbi adatok közül az ügyfél által önkéntesen megadott adatok:</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név (kapcsolattartó vagy cég neve),</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telefonszám,</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cím (postacím).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törvényben, illetve a GDPR 6. cikk 1. a) pontjában előírtak szerint önkéntes hozzájáruláson alapuló adatkezelés.</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Amennyiben a kapcsolatfelvétel tárgyában jogszerűen igény érvényesíthető, annak igazolhatósága céljából legfeljebb 5 éven belül.</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adatok kezelése az Adatkezelő által használt levelező rendszerben, illetve telefonon vagy levélben történő megkeresés esetén papír alapon kerül rögzítésre, illetve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érdeklődők személyes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Szerződéses partnerek adatainak kezelése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szerződéses partnereinek nyilvántartása, partnerekkel való kapcsolattartás biztosítása, továbbá jogszabályi kötelezettség teljesítése.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szerződéses partnerei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szerződéses partnerek (jogi személyek), illetve képviselői, kapcsolattartói (természetes személyek) beazonosításához, a velük történő kapcsolattartáshoz, a szerződés jogszerűségének igazolásához (pl.: átláthatósági nyilatkozatok), továbbá a számlák- és egyéb pénzügyi bizonylatok kiállításához szükséges adatok közül az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név (cég tulajdonosa, képviselője, kapcsolattartója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lakcím,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adószám,</w:t>
            </w:r>
          </w:p>
          <w:p>
            <w:pPr>
              <w:pStyle w:val="NoSpacing"/>
              <w:widowControl/>
              <w:numPr>
                <w:ilvl w:val="0"/>
                <w:numId w:val="2"/>
              </w:numPr>
              <w:spacing w:before="0" w:after="0"/>
              <w:contextualSpacing/>
              <w:rPr>
                <w:highlight w:val="yellow"/>
              </w:rPr>
            </w:pPr>
            <w:r>
              <w:rPr>
                <w:kern w:val="0"/>
                <w:sz w:val="20"/>
                <w:szCs w:val="22"/>
                <w:highlight w:val="yellow"/>
                <w:lang w:val="hu-HU" w:bidi="ar-SA"/>
              </w:rPr>
              <w:t>bankszámlaszám,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telefonszám.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numPr>
                <w:ilvl w:val="0"/>
                <w:numId w:val="14"/>
              </w:numPr>
              <w:spacing w:before="0" w:after="0"/>
              <w:contextualSpacing/>
              <w:rPr>
                <w:kern w:val="0"/>
                <w:sz w:val="20"/>
                <w:szCs w:val="22"/>
                <w:lang w:val="hu-HU" w:bidi="ar-SA"/>
              </w:rPr>
            </w:pPr>
            <w:r>
              <w:rPr>
                <w:kern w:val="0"/>
                <w:sz w:val="20"/>
                <w:szCs w:val="22"/>
                <w:lang w:val="hu-HU" w:bidi="ar-SA"/>
              </w:rPr>
              <w:t>Magyar Államkincstár</w:t>
            </w:r>
          </w:p>
          <w:p>
            <w:pPr>
              <w:pStyle w:val="NoSpacing"/>
              <w:widowControl/>
              <w:numPr>
                <w:ilvl w:val="0"/>
                <w:numId w:val="14"/>
              </w:numPr>
              <w:spacing w:before="0" w:after="0"/>
              <w:contextualSpacing/>
              <w:rPr>
                <w:kern w:val="0"/>
                <w:sz w:val="20"/>
                <w:szCs w:val="22"/>
                <w:lang w:val="hu-HU" w:bidi="ar-SA"/>
              </w:rPr>
            </w:pPr>
            <w:r>
              <w:rPr>
                <w:kern w:val="0"/>
                <w:sz w:val="20"/>
                <w:szCs w:val="22"/>
                <w:lang w:val="hu-HU" w:bidi="ar-SA"/>
              </w:rPr>
              <w:t>Nemzeti Adó- és Vámhivatal</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államháztartásról szóló 2011. évi CXCV.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nemzeti vagyonról szóló 2011. évi CXCVI.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közbeszerzésekről szóló 2015. évi CXLIII.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Polgári Törvénykönyvről szóló 2013. évi V.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számvitelről szóló 2000. évi C. törvény</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szerződések jogszabályban meghatározott megőrzési ideje 10 év.</w:t>
            </w:r>
          </w:p>
          <w:p>
            <w:pPr>
              <w:pStyle w:val="NoSpacing"/>
              <w:widowControl/>
              <w:spacing w:before="0" w:after="0"/>
              <w:contextualSpacing/>
              <w:rPr>
                <w:kern w:val="0"/>
                <w:sz w:val="20"/>
                <w:szCs w:val="22"/>
                <w:lang w:val="hu-HU" w:bidi="ar-SA"/>
              </w:rPr>
            </w:pPr>
            <w:r>
              <w:rPr>
                <w:kern w:val="0"/>
                <w:sz w:val="20"/>
                <w:szCs w:val="22"/>
                <w:lang w:val="hu-HU" w:bidi="ar-SA"/>
              </w:rPr>
              <w:t>A szerződéskötéshez kapcsolódó átláthatósági nyilatkozatok megőrzése a szerződésből eredő követelések elévüléséig tarthat.</w:t>
            </w:r>
          </w:p>
          <w:p>
            <w:pPr>
              <w:pStyle w:val="NoSpacing"/>
              <w:widowControl/>
              <w:spacing w:before="0" w:after="0"/>
              <w:contextualSpacing/>
              <w:rPr>
                <w:kern w:val="0"/>
                <w:sz w:val="20"/>
                <w:szCs w:val="22"/>
                <w:lang w:val="hu-HU" w:bidi="ar-SA"/>
              </w:rPr>
            </w:pPr>
            <w:r>
              <w:rPr>
                <w:kern w:val="0"/>
                <w:sz w:val="20"/>
                <w:szCs w:val="22"/>
                <w:lang w:val="hu-HU" w:bidi="ar-SA"/>
              </w:rPr>
              <w:t>A szerződés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szerződött partnerekkel történő kapcsolattartás az Adatkezelő által használt levelező rendszerben, illetve telefonon vagy írásos formában, levélben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szerződésekhez kapcsolódó adatok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szerződéses partnerek személyes adatnak minősülő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Közigazgatási feladatellátáshoz kapcsolódó adatkezelés</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Jogszabályi kötelezettség teljesítése.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illetékességi területéhez tartozó természetes és jogi személyek (ügyfelek).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ügyfelek természetes személyazonosító adatai közül az adott ügyintézéshez, eljáráshoz, illetve nyilvántartáshoz kapcsolódó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név (cég tulajdonosa, képviselője, kapcsolattartója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születési név,</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neme,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születési hely, idő,</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családi állapot,</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állampolgárság,</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cím (állandó, ideiglenes, székhely, telephely),</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adószám,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TAJ 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telefonszám.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adott ügyintézéshez, eljáráshoz kapcsolódóan illetékes felettes szervek, eljáró hatóságok, továbbá az elektronikus ügyintézés keretében az információátadásban címzett szervek.</w:t>
            </w:r>
          </w:p>
          <w:p>
            <w:pPr>
              <w:pStyle w:val="NoSpacing"/>
              <w:widowControl/>
              <w:spacing w:before="0" w:after="0"/>
              <w:contextualSpacing/>
              <w:rPr>
                <w:kern w:val="0"/>
                <w:sz w:val="20"/>
                <w:szCs w:val="22"/>
                <w:lang w:val="hu-HU" w:bidi="ar-SA"/>
              </w:rPr>
            </w:pPr>
            <w:r>
              <w:rPr>
                <w:kern w:val="0"/>
                <w:sz w:val="20"/>
                <w:szCs w:val="22"/>
                <w:lang w:val="hu-HU" w:bidi="ar-SA"/>
              </w:rPr>
              <w:t>A közigazgatási feladatok ellátásához, valamint a vezetett nyilvántartásokhoz kapcsolódó központi, illetve statisztikai adatszolgáltatások címzettjei.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általános közigazgatási rendtartásról szóló 2016. évi CL.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elektronikus ügyintézés és a bizalmi szolgáltatások általános szabályairól szóló 2015. évi CCXXII.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helyi adókról szóló 1990. évi C.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szociális igazgatásról és a szociális ellátásokról szóló 1993. évi 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tűz elleni védekezésről szóló 1996. évi XXXI.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gyermekek védelméről és a gyámügyi igazgatásról szóló 1997. évi XXXI.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állatok védelméről szóló 1998. évi XXVIII.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anyakönyvi eljárásról szóló 2010. évi 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állami és önkormányzati szervek elektronikus információbiztonságáról szóló 2013. évi 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jövedéki adóról szóló 2016. évi LXVIII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114/2013. (IV. 16.) Korm. rendelet. a magyar nemzeti értékek és a hungarikumok gondozásáról,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17/2015 (II.16.) Korm. rendelet a jegyző hatáskörébe tartozó birtokvédelmi eljárásról,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210/2009 (IX.29) Korm. rendelet a kereskedelmi tevékenységek végzésének feltételeiről,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239/2009 (X.20.) Korm. rendelet a szálláshely-szolgáltatási tevékenység folytatásának részletes feltételeiről és a szálláshely-üzemeltetési engedély kiadásának rendjéről,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245/1998. (XII.31.) Korm. rendelet a települési önkormányzat jegyzőjének az állatok védelmével, valamint az állatok nyilvántartásával kapcsolatos egyes feladat- és hatásköreiről,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305/2005. (XII. 25.) Korm. rendelet a közérdekű adatok elektronikus közzétételére, az egységes közadatkereső rendszerre, valamint a központi jegyzék adattartalmára, az adatintegrációra vonatkozó részletes szabályokról,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328/2011. (XII. 29.) Korm. rendelet a személyes gondoskodást nyújtó gyermekjóléti alapellátások és gyermekvédelmi szakellátások térítési díjáról és az igénylésükhöz felhasználható bizonyítékokról,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429/2017. (XII.20.) Korm. rendelet az anyakönyvezési feladatok ellátásának részletes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465/2017. (XII.28.) Korm. rendelet az adóigazgatási eljárás részletszabályairól,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57/2013 (II. 27.) Korm. rendelet a telepengedély, illetve a telep létesítésének bejelentése alapján gyakorolható egyes termelő és egyes szolgáltató tevékenységekről, valamint a telepengedélyezés rendjéről és a bejelentés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63/2006. (III. 27.) Korm. rendelet a pénzbeli és természetbeni szociális ellátások igénylésének és megállapításának, valamint folyósításának részletes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70/2003. (VI.27.) FVM rendelet a méhállományok védelméről és a mézelő méhek egyes betegségeinek megelőzéséről és leküzdéséről</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üggyel kapcsolatos helyben tárolt és kezelt adatok kezelése minden esetben a vonatkozó, hatályos jogszabályi előírásokban meghatározott ideig történik. Ez általában 10 év, de jogszabály ettől eltérő, hosszabb megőrzési időt is előírhat, az állami, központi nyilvántartásokban kezelt adatok megőrzési ideje ettől lényegesen hosszabb is lehet.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ügyfelek adatainak feldolgozását, kezelését szolgáló helyi, illetve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ügyfelekkel történő elektronikus kapcsolattartáshoz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ügyfelek személyes adatnak minősülő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550"/>
        <w:gridCol w:w="6521"/>
      </w:tblGrid>
      <w:tr>
        <w:trPr/>
        <w:tc>
          <w:tcPr>
            <w:tcW w:w="25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5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Rendezvényen rögzített kép- és videófelvételek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521" w:type="dxa"/>
            <w:tcBorders/>
            <w:shd w:color="auto" w:fill="auto" w:val="clear"/>
          </w:tcPr>
          <w:p>
            <w:pPr>
              <w:pStyle w:val="Normal"/>
              <w:widowControl/>
              <w:spacing w:before="120" w:after="120"/>
              <w:rPr>
                <w:szCs w:val="20"/>
              </w:rPr>
            </w:pPr>
            <w:r>
              <w:rPr>
                <w:kern w:val="0"/>
                <w:sz w:val="20"/>
                <w:szCs w:val="20"/>
                <w:lang w:val="hu-HU" w:bidi="ar-SA"/>
              </w:rPr>
              <w:t>A nyilvánosság tájékoztatása, a település, illetve az Adatkezelő által szervezett rendezvények, programok népszerűsítése.</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felvételeken szereplő, beazonosítható, felismerhető természetes személyek.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521" w:type="dxa"/>
            <w:tcBorders/>
            <w:shd w:color="auto" w:fill="auto" w:val="clear"/>
          </w:tcPr>
          <w:p>
            <w:pPr>
              <w:pStyle w:val="Szvegtrzs"/>
              <w:widowControl/>
              <w:tabs>
                <w:tab w:val="clear" w:pos="708"/>
                <w:tab w:val="left" w:pos="0" w:leader="none"/>
              </w:tabs>
              <w:spacing w:before="0" w:after="0"/>
              <w:rPr>
                <w:rFonts w:ascii="Times New Roman" w:hAnsi="Times New Roman" w:cs="Times New Roman"/>
                <w:sz w:val="20"/>
                <w:szCs w:val="20"/>
              </w:rPr>
            </w:pPr>
            <w:r>
              <w:rPr>
                <w:rFonts w:cs="Times New Roman" w:ascii="Times New Roman" w:hAnsi="Times New Roman"/>
                <w:sz w:val="20"/>
                <w:szCs w:val="20"/>
                <w:lang w:val="hu-HU"/>
              </w:rPr>
              <w:t>Természetes személyek képmása.</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információs önrendelkezési jogról és az információszabadságról szóló 2011. évi CXII. törvényben, illetve a GDPR 6. cikk 1. a) pontjában előírtak szerint önkéntes hozzájáruláson alapul.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érintett hozzájárulásának visszavonását (törlés kérése) követően egy napon belül.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rögzített kép- és videofelvételek tárolását, megőrzését szolgáló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Álláspályázatra jelentkezők adatai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működése folyamatos biztosításához szükséges humánerőforrás biztosítása, a munkakör betöltésére alkalmas (megfelelő kompetenciákkal rendelkező) pályázó kiválasztása.</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meghirdetett álláspályázataira jelentkező természetes személyek.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álláshirdetésre jelentkezők beazonosításához, a velük történő kapcsolattartáshoz, valamint a munkakör betöltésére való alkalmasságuk előzetes elbírálásához szükséges alábbi adatok:</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fénykép,</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vezetéknév/utónév,</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születési név,</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neme,</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születési hely, idő,</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családi állapot,</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állampolgárság,</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állandó lakcím,</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ideiglenes lakcím (tartózkodási hely),</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telefonszám(ok),</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fax,</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honlap,</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önéletrajz,</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képesítést, szakképzettséget igazoló dokumentumok.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12"/>
              </w:numPr>
              <w:spacing w:before="0" w:after="0"/>
              <w:contextualSpacing/>
              <w:rPr>
                <w:highlight w:val="yellow"/>
              </w:rPr>
            </w:pPr>
            <w:r>
              <w:rPr>
                <w:kern w:val="0"/>
                <w:sz w:val="20"/>
                <w:szCs w:val="22"/>
                <w:highlight w:val="yellow"/>
                <w:lang w:val="hu-HU" w:bidi="ar-SA"/>
              </w:rPr>
              <w:t>a foglalkoztatás elősegítéséről és a munkanélküliek ellátásáról szóló1991. évi IV. törvény,</w:t>
            </w:r>
          </w:p>
          <w:p>
            <w:pPr>
              <w:pStyle w:val="NoSpacing"/>
              <w:widowControl/>
              <w:numPr>
                <w:ilvl w:val="0"/>
                <w:numId w:val="12"/>
              </w:numPr>
              <w:spacing w:before="0" w:after="0"/>
              <w:contextualSpacing/>
              <w:rPr>
                <w:highlight w:val="yellow"/>
              </w:rPr>
            </w:pPr>
            <w:r>
              <w:rPr>
                <w:kern w:val="0"/>
                <w:sz w:val="20"/>
                <w:szCs w:val="22"/>
                <w:highlight w:val="yellow"/>
                <w:lang w:val="hu-HU" w:bidi="ar-SA"/>
              </w:rPr>
              <w:t>a közfoglalkoztatásról és a közfoglalkoztatáshoz kapcsolódó, valamint egyéb törvények módosításáról szóló 2011. évi CVI. törvény,</w:t>
            </w:r>
          </w:p>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2"/>
              </w:numPr>
              <w:spacing w:before="0" w:after="0"/>
              <w:contextualSpacing/>
              <w:rPr>
                <w:kern w:val="0"/>
                <w:sz w:val="20"/>
                <w:szCs w:val="22"/>
                <w:lang w:val="hu-HU" w:bidi="ar-SA"/>
              </w:rPr>
            </w:pPr>
            <w:r>
              <w:rPr>
                <w:kern w:val="0"/>
                <w:sz w:val="20"/>
                <w:szCs w:val="22"/>
                <w:highlight w:val="yellow"/>
                <w:lang w:val="hu-HU"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benyújtott álláspályázat elbírálását követően sikertelen pályázat esetén a pályázó számára Adatkezelő visszajuttatja a benyújtott pályázati anyagokat. Amennyiben a pályázó nem veszi át azokat, akkor Adatkezelő 90 nap elteltével törli, megsemmisíti az adatokat.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adatok feldolgozására, kezelésére szolgáló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álláspályázatra jelentkezők személyes adatait tartalmazó, kinyomtatásra került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Munkavállalók személyes adatai – személyügyi nyilvántartás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jogszabályban előírt munkaviszonnyal összefüggő nyilvántartási, adatszolgáltatási kötelezettségeinek teljesítése; humánerőforrás menedzsment feladatainak támogatása.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munkavállalói.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természetes személyazonosító adatai (törzsadatok), valamint a munkaviszonnyal összefüggő egyéb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születési helye, ideje;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személyi igazolvány 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állandó és ideiglenes lakcíme;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állampolgársága;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iskolai végzettsége;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szakmai, tanfolyami végzettségei;</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munkakör, beosztás, telephely, felvétel időpontja;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gépkocsivezetői engedélye száma (gépjármű használatára jogosult munkavállalók esetén)</w:t>
            </w:r>
          </w:p>
          <w:p>
            <w:pPr>
              <w:pStyle w:val="NoSpacing"/>
              <w:widowControl/>
              <w:numPr>
                <w:ilvl w:val="0"/>
                <w:numId w:val="3"/>
              </w:numPr>
              <w:spacing w:before="0" w:after="0"/>
              <w:contextualSpacing/>
              <w:rPr>
                <w:kern w:val="0"/>
                <w:sz w:val="20"/>
                <w:szCs w:val="22"/>
                <w:lang w:val="hu-HU" w:bidi="ar-SA"/>
              </w:rPr>
            </w:pPr>
            <w:r>
              <w:rPr>
                <w:kern w:val="0"/>
                <w:sz w:val="20"/>
                <w:szCs w:val="22"/>
                <w:highlight w:val="yellow"/>
                <w:lang w:val="hu-HU" w:bidi="ar-SA"/>
              </w:rPr>
              <w:t>16. életév alatti eltartott adatai (név, születési idő,TAJ szám)</w:t>
            </w: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Adatkezelő szerződéses foglalkozás-egészségügyi szolgáltató partnere (üzemorvos);</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Adatkezelő munkavédelmi szolgáltató partnere</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Közszolgálati alapnyilvántartás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foglalkoztatás elősegítéséről és a munkanélküliek ellátásáról szóló1991. évi IV.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közfoglalkoztatásról és a közfoglalkoztatáshoz kapcsolódó, valamint egyéb törvények módosításáról szóló 2011. évi CVI. törvény,</w:t>
            </w:r>
          </w:p>
          <w:p>
            <w:pPr>
              <w:pStyle w:val="NoSpacing"/>
              <w:widowControl/>
              <w:numPr>
                <w:ilvl w:val="0"/>
                <w:numId w:val="8"/>
              </w:numPr>
              <w:spacing w:before="0" w:after="0"/>
              <w:contextualSpacing/>
              <w:rPr>
                <w:kern w:val="0"/>
                <w:sz w:val="20"/>
                <w:szCs w:val="22"/>
                <w:lang w:val="hu-HU" w:bidi="ar-SA"/>
              </w:rPr>
            </w:pPr>
            <w:r>
              <w:rPr>
                <w:kern w:val="0"/>
                <w:sz w:val="20"/>
                <w:szCs w:val="22"/>
                <w:highlight w:val="yellow"/>
                <w:lang w:val="hu-HU"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r>
              <w:rPr>
                <w:kern w:val="0"/>
                <w:sz w:val="20"/>
                <w:szCs w:val="22"/>
                <w:lang w:val="hu-HU" w:bidi="ar-SA"/>
              </w:rPr>
              <w:t>,</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az egyes vagyonnyilatkozat-tételi kötelezettségekről szóló 2007. évi CLII.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munka törvénykönyvéről szóló 2012. évi 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munkavédelemről szóló 1993. évi XCIII. törvény</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személyügyi nyilvántartás adatainak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foglalkozás-egészségügyi ellátáshoz, illetve a munkavédelmi tevékenységekhez szükséges alapadatok (név, munkakör, beosztás) továbbítását a személyügyi nyilvántartás alapján a szolgáltató felé Adatkezelő személyesen, elektronikus úton (email), postai úton vagy telefonon végzi.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személyügyi nyilvántartás munkavállalók személyes adatait tartalmazó papír alapú adathordozóit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21"/>
        <w:gridCol w:w="6950"/>
      </w:tblGrid>
      <w:tr>
        <w:trPr/>
        <w:tc>
          <w:tcPr>
            <w:tcW w:w="2121"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50"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Munkavállalók személyes adatai – bérszámfejtés</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bér- és járulék elszámolásának biztosítása.</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munkavállalói.</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bér- és járulék elszámolásához és kifizetéséhez szükséges személyazonosító adatai (törzsadatok), valamint a munkaviszonnyal összefüggő egyéb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adószáma;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TAJ 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bankszámlaszáma;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nyugdíj-, illetve egészségpénztári tagságához kapcsolódó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eltartottjai adatai (név, születési idő, adószám, TAJ 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házastársa, élettársa adatai (név, adószám, TAJ 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munkaköre, beosztása.</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50" w:type="dxa"/>
            <w:tcBorders/>
            <w:shd w:color="auto" w:fill="auto" w:val="clear"/>
          </w:tcPr>
          <w:p>
            <w:pPr>
              <w:pStyle w:val="NoSpacing"/>
              <w:widowControl/>
              <w:numPr>
                <w:ilvl w:val="0"/>
                <w:numId w:val="7"/>
              </w:numPr>
              <w:spacing w:before="0" w:after="0"/>
              <w:contextualSpacing/>
              <w:rPr>
                <w:kern w:val="0"/>
                <w:sz w:val="20"/>
                <w:szCs w:val="22"/>
                <w:lang w:val="hu-HU" w:bidi="ar-SA"/>
              </w:rPr>
            </w:pPr>
            <w:r>
              <w:rPr>
                <w:kern w:val="0"/>
                <w:sz w:val="20"/>
                <w:szCs w:val="22"/>
                <w:lang w:val="hu-HU" w:bidi="ar-SA"/>
              </w:rPr>
              <w:t>Nemzeti Adó- és Vámhivatal</w:t>
            </w:r>
          </w:p>
          <w:p>
            <w:pPr>
              <w:pStyle w:val="NoSpacing"/>
              <w:widowControl/>
              <w:numPr>
                <w:ilvl w:val="0"/>
                <w:numId w:val="7"/>
              </w:numPr>
              <w:spacing w:before="0" w:after="0"/>
              <w:contextualSpacing/>
              <w:rPr>
                <w:kern w:val="0"/>
                <w:sz w:val="20"/>
                <w:szCs w:val="22"/>
                <w:lang w:val="hu-HU" w:bidi="ar-SA"/>
              </w:rPr>
            </w:pPr>
            <w:r>
              <w:rPr>
                <w:kern w:val="0"/>
                <w:sz w:val="20"/>
                <w:szCs w:val="22"/>
                <w:lang w:val="hu-HU" w:bidi="ar-SA"/>
              </w:rPr>
              <w:t>Magyar Államkincstár</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50" w:type="dxa"/>
            <w:tcBorders/>
            <w:shd w:color="auto" w:fill="auto" w:val="clear"/>
          </w:tcPr>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foglalkoztatás elősegítéséről és a munkanélküliek ellátásáról szóló1991. évi IV.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közfoglalkoztatásról és a közfoglalkoztatáshoz kapcsolódó, valamint egyéb törvények módosításáról szóló 2011. évi CVI.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munka törvénykönyvéről szóló 2012. évi 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személyi jövedelemadóról szóló 1995. évi CXVII.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társadalombiztosítás ellátásaira és a magánnyugdíjra jogosultakról, valamint e szolgáltatások fedezetéről szóló 1997. évi LXXX.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az egészségügyi hozzájárulásról szóló 1998. évi LXVI.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magánnyugdíjról és a magán-nyugdíjpénztárakról szóló 1997. évi LXXXII.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családok támogatásáról szóló 1998. évi LXXXIV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Polgári Törvénykönyvről szóló 2013. évi V. törvény</w:t>
            </w:r>
          </w:p>
        </w:tc>
      </w:tr>
      <w:tr>
        <w:trPr>
          <w:trHeight w:val="994" w:hRule="atLeast"/>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munkavállalók bér- és járulék elszámolásához kapcsolódó adatainak feldolgozását, kezelését szolgáló helyi, illetve központi üzemeltetésű szakrendszerekhez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munkavállalók személyes adatait tartalmazó papír alapú adathordozóit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6"/>
        <w:gridCol w:w="6925"/>
      </w:tblGrid>
      <w:tr>
        <w:trPr/>
        <w:tc>
          <w:tcPr>
            <w:tcW w:w="2146"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5"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Menetlevelek adatai</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Jogszabályi kötelezettség teljesítése.</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céges gépjármű használatára jogosult munkavállalói.</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5" w:type="dxa"/>
            <w:tcBorders/>
            <w:shd w:color="auto" w:fill="auto" w:val="clear"/>
          </w:tcPr>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gépjármű azonosító adatai (forgalmi rendszám).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alábbi jogszabályi előírásokon alapul:</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 gépjárműadóról szóló 1991. évi LXXXII.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 számvitelről szóló 2000. évi C.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hatályos jogszabályi előírások alapján a menetlevelek megőrzési ideje 8 év. Ennek elteltével Adatkezelő leselejtezi és megsemmisíti a bizonylatokat.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személyes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 megőrzése, tárolása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ind w:left="0" w:hanging="0"/>
              <w:contextualSpacing/>
              <w:rPr>
                <w:kern w:val="0"/>
                <w:sz w:val="20"/>
                <w:lang w:val="hu-HU" w:bidi="ar-SA"/>
              </w:rPr>
            </w:pPr>
            <w:r>
              <w:rPr>
                <w:kern w:val="0"/>
                <w:sz w:val="20"/>
                <w:lang w:val="hu-HU" w:bidi="ar-SA"/>
              </w:rPr>
              <w:t>Közérdekű adatok igénylésével kapcsolatos adatkezelés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adatigénylést benyújtó személyek</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adatigénylő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elérhetőségei (az adatigénylés formájától függően: postázási cím, email cím, telefonszám),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 xml:space="preserve">igényelt adatok köre, </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 xml:space="preserve">költségtérítés megállapításához kapcsolódó számlázási adatok (név, számlázási cím, adószám, </w:t>
            </w:r>
            <w:r>
              <w:rPr>
                <w:kern w:val="0"/>
                <w:sz w:val="20"/>
                <w:szCs w:val="22"/>
                <w:highlight w:val="yellow"/>
                <w:lang w:val="hu-HU" w:bidi="ar-SA"/>
              </w:rPr>
              <w:t>bankszámlaszám</w:t>
            </w: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Amennyiben költségtérítés is megállapításra kerül, akkor a közérdekű adatigénylés teljesítéséhez kapcsolódó pénzügyi bizonylatok (pl.: számlák) tartalmát a Nemzeti Adó- és Vámhivatal számára kötelesek vagyunk átadni.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alábbi jogszabályi előírásokon alapul:</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GDPR 6. cikk (1) bekezdés c) pontja,</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információs önrendelkezési jogról és az információszabadságról szóló 2011. évi CXII. törvény 28. § (2) bekezdés és 29. § (1b) bekezdés,</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államháztartásról szóló 2011. évi CXCV. törvény,</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 számvitelről szóló 2000. évi C. törvény.</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közérdekű adatigényléssel összefüggésben megadott személyes adatokat az adatigénylés teljesítését követő egy évig kezeli, a költségtérítéssel járó adatigénylések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közérdekű adatot igénylő személlyel történő kapcsolattartás az Adatkezelő által használt levelező rendszerben, illetve telefonon vagy írásos formában, levélben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t>A közérdekű adatot igénylő személy személyes adatnak minősülő adatait tartalmazó papír alapú adathordozókat Adatkezelő az Iratkezelési Szabályzatában meghatározott előírások szerint tárolja és kezeli.</w:t>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p>
    <w:sectPr>
      <w:headerReference w:type="defaul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4764251"/>
    </w:sdtPr>
    <w:sdtContent>
      <w:p>
        <w:pPr>
          <w:pStyle w:val="Llb"/>
          <w:jc w:val="right"/>
          <w:rPr/>
        </w:pPr>
        <w:r>
          <w:rPr/>
          <w:fldChar w:fldCharType="begin"/>
        </w:r>
        <w:r>
          <w:rPr/>
          <w:instrText> PAGE </w:instrText>
        </w:r>
        <w:r>
          <w:rPr/>
          <w:fldChar w:fldCharType="separate"/>
        </w:r>
        <w:r>
          <w:rPr/>
          <w:t>18</w:t>
        </w:r>
        <w:r>
          <w:rPr/>
          <w:fldChar w:fldCharType="end"/>
        </w:r>
        <w:r>
          <w:rPr/>
          <w:t>. oldal</w:t>
        </w:r>
      </w:p>
    </w:sdtContent>
  </w:sdt>
  <w:p>
    <w:pPr>
      <w:pStyle w:val="Llb"/>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sz w:val="16"/>
        <w:szCs w:val="16"/>
      </w:rPr>
    </w:pPr>
    <w:r>
      <w:rPr>
        <w:sz w:val="16"/>
        <w:szCs w:val="16"/>
      </w:rPr>
      <w:t xml:space="preserve">Készítette: </w:t>
      <w:tab/>
      <w:t>HANGANOV Kft.</w:t>
    </w:r>
  </w:p>
  <w:p>
    <w:pPr>
      <w:pStyle w:val="Llb"/>
      <w:rPr>
        <w:sz w:val="16"/>
        <w:szCs w:val="16"/>
      </w:rPr>
    </w:pPr>
    <w:r>
      <w:rPr>
        <w:sz w:val="16"/>
        <w:szCs w:val="16"/>
      </w:rPr>
      <w:tab/>
      <w:t>Az információbiztonság és az adatvédelem szakértője</w:t>
    </w:r>
  </w:p>
  <w:p>
    <w:pPr>
      <w:pStyle w:val="Llb"/>
      <w:rPr>
        <w:sz w:val="16"/>
        <w:szCs w:val="16"/>
      </w:rPr>
    </w:pPr>
    <w:r>
      <w:rPr>
        <w:sz w:val="16"/>
        <w:szCs w:val="16"/>
      </w:rPr>
      <w:tab/>
      <w:t>www.hanganov.hu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right"/>
      <w:rPr/>
    </w:pPr>
    <w:r>
      <w:rPr>
        <w:b/>
        <w:i/>
      </w:rPr>
      <w:t xml:space="preserve">Adatkezelői nyilvántartás – </w:t>
    </w:r>
    <w:r>
      <w:rPr/>
      <w:t>Bajna Község Önkormányzata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2"/>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77b6"/>
    <w:pPr>
      <w:widowControl/>
      <w:bidi w:val="0"/>
      <w:spacing w:before="120" w:after="120"/>
      <w:jc w:val="both"/>
      <w:textAlignment w:val="baseline"/>
    </w:pPr>
    <w:rPr>
      <w:rFonts w:ascii="Times New Roman" w:hAnsi="Times New Roman" w:eastAsia="Times New Roman" w:cs="Times New Roman"/>
      <w:color w:val="00000A"/>
      <w:kern w:val="0"/>
      <w:sz w:val="20"/>
      <w:szCs w:val="22"/>
      <w:lang w:eastAsia="hu-HU" w:val="hu-HU" w:bidi="ar-SA"/>
    </w:rPr>
  </w:style>
  <w:style w:type="paragraph" w:styleId="Cmsor1">
    <w:name w:val="Heading 1"/>
    <w:basedOn w:val="Normal"/>
    <w:link w:val="Cmsor1Char"/>
    <w:autoRedefine/>
    <w:uiPriority w:val="9"/>
    <w:qFormat/>
    <w:rsid w:val="006f56b0"/>
    <w:pPr>
      <w:keepNext w:val="true"/>
      <w:keepLines/>
      <w:spacing w:before="240" w:after="240"/>
      <w:contextualSpacing/>
      <w:textAlignment w:val="auto"/>
      <w:outlineLvl w:val="0"/>
    </w:pPr>
    <w:rPr>
      <w:rFonts w:eastAsia="" w:cs="" w:cstheme="majorBidi" w:eastAsiaTheme="majorEastAsia"/>
      <w:b/>
      <w:sz w:val="24"/>
      <w:szCs w:val="32"/>
      <w:lang w:eastAsia="en-US"/>
    </w:rPr>
  </w:style>
  <w:style w:type="paragraph" w:styleId="Cmsor2">
    <w:name w:val="Heading 2"/>
    <w:basedOn w:val="Normal"/>
    <w:link w:val="Cmsor2Char"/>
    <w:autoRedefine/>
    <w:uiPriority w:val="9"/>
    <w:unhideWhenUsed/>
    <w:qFormat/>
    <w:rsid w:val="003d66f1"/>
    <w:pPr>
      <w:keepNext w:val="true"/>
      <w:numPr>
        <w:ilvl w:val="0"/>
        <w:numId w:val="1"/>
      </w:numPr>
      <w:spacing w:before="120" w:after="120"/>
      <w:ind w:left="0" w:hanging="0"/>
      <w:contextualSpacing/>
      <w:textAlignment w:val="auto"/>
      <w:outlineLvl w:val="0"/>
    </w:pPr>
    <w:rPr>
      <w:rFonts w:eastAsia="" w:cs="" w:cstheme="majorBidi" w:eastAsiaTheme="majorEastAsia"/>
      <w:b/>
      <w:szCs w:val="26"/>
      <w:lang w:eastAsia="en-US"/>
    </w:rPr>
  </w:style>
  <w:style w:type="paragraph" w:styleId="Cmsor3">
    <w:name w:val="Heading 3"/>
    <w:basedOn w:val="Normal"/>
    <w:link w:val="Cmsor3Char"/>
    <w:autoRedefine/>
    <w:uiPriority w:val="9"/>
    <w:unhideWhenUsed/>
    <w:qFormat/>
    <w:rsid w:val="006f56b0"/>
    <w:pPr>
      <w:keepNext w:val="true"/>
      <w:keepLines/>
      <w:textAlignment w:val="auto"/>
      <w:outlineLvl w:val="2"/>
    </w:pPr>
    <w:rPr>
      <w:rFonts w:eastAsia="" w:cs="" w:cstheme="majorBidi" w:eastAsiaTheme="majorEastAsia"/>
      <w:szCs w:val="24"/>
      <w:u w:val="single"/>
      <w:lang w:eastAsia="en-US"/>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6f56b0"/>
    <w:rPr>
      <w:rFonts w:ascii="Times New Roman" w:hAnsi="Times New Roman" w:eastAsia="" w:cs="" w:cstheme="majorBidi" w:eastAsiaTheme="majorEastAsia"/>
      <w:b/>
      <w:sz w:val="24"/>
      <w:szCs w:val="32"/>
    </w:rPr>
  </w:style>
  <w:style w:type="character" w:styleId="Cmsor2Char" w:customStyle="1">
    <w:name w:val="Címsor 2 Char"/>
    <w:basedOn w:val="DefaultParagraphFont"/>
    <w:link w:val="Cmsor2"/>
    <w:uiPriority w:val="9"/>
    <w:qFormat/>
    <w:rsid w:val="003d66f1"/>
    <w:rPr>
      <w:rFonts w:ascii="Times New Roman" w:hAnsi="Times New Roman" w:eastAsia="" w:cs="" w:cstheme="majorBidi" w:eastAsiaTheme="majorEastAsia"/>
      <w:b/>
      <w:szCs w:val="26"/>
    </w:rPr>
  </w:style>
  <w:style w:type="character" w:styleId="Cmsor3Char" w:customStyle="1">
    <w:name w:val="Címsor 3 Char"/>
    <w:basedOn w:val="DefaultParagraphFont"/>
    <w:link w:val="Cmsor3"/>
    <w:uiPriority w:val="9"/>
    <w:qFormat/>
    <w:rsid w:val="006f56b0"/>
    <w:rPr>
      <w:rFonts w:ascii="Times New Roman" w:hAnsi="Times New Roman" w:eastAsia="" w:cs="" w:cstheme="majorBidi" w:eastAsiaTheme="majorEastAsia"/>
      <w:szCs w:val="24"/>
      <w:u w:val="single"/>
    </w:rPr>
  </w:style>
  <w:style w:type="character" w:styleId="CmChar" w:customStyle="1">
    <w:name w:val="Cím Char"/>
    <w:basedOn w:val="DefaultParagraphFont"/>
    <w:link w:val="Cm"/>
    <w:uiPriority w:val="10"/>
    <w:qFormat/>
    <w:rsid w:val="0046584d"/>
    <w:rPr>
      <w:rFonts w:ascii="Times New Roman" w:hAnsi="Times New Roman" w:eastAsia="" w:cs="" w:cstheme="majorBidi" w:eastAsiaTheme="majorEastAsia"/>
      <w:b/>
      <w:spacing w:val="-10"/>
      <w:kern w:val="2"/>
      <w:sz w:val="32"/>
      <w:szCs w:val="56"/>
      <w:lang w:eastAsia="hu-HU"/>
    </w:rPr>
  </w:style>
  <w:style w:type="character" w:styleId="LfejChar" w:customStyle="1">
    <w:name w:val="Élőfej Char"/>
    <w:basedOn w:val="DefaultParagraphFont"/>
    <w:uiPriority w:val="99"/>
    <w:qFormat/>
    <w:rsid w:val="000e1e7d"/>
    <w:rPr>
      <w:rFonts w:ascii="Times New Roman" w:hAnsi="Times New Roman" w:eastAsia="Times New Roman" w:cs="Times New Roman"/>
      <w:lang w:eastAsia="hu-HU"/>
    </w:rPr>
  </w:style>
  <w:style w:type="character" w:styleId="LlbChar" w:customStyle="1">
    <w:name w:val="Élőláb Char"/>
    <w:basedOn w:val="DefaultParagraphFont"/>
    <w:uiPriority w:val="99"/>
    <w:qFormat/>
    <w:rsid w:val="000e1e7d"/>
    <w:rPr>
      <w:rFonts w:ascii="Times New Roman" w:hAnsi="Times New Roman" w:eastAsia="Times New Roman" w:cs="Times New Roman"/>
      <w:lang w:eastAsia="hu-HU"/>
    </w:rPr>
  </w:style>
  <w:style w:type="character" w:styleId="SzvegtrzsChar" w:customStyle="1">
    <w:name w:val="Szövegtörzs Char"/>
    <w:basedOn w:val="DefaultParagraphFont"/>
    <w:link w:val="Szvegtrzs"/>
    <w:qFormat/>
    <w:rsid w:val="0080318a"/>
    <w:rPr>
      <w:rFonts w:ascii="Liberation Serif" w:hAnsi="Liberation Serif" w:eastAsia="SimSun" w:cs="Lucida Sans"/>
      <w:color w:val="00000A"/>
      <w:kern w:val="2"/>
      <w:sz w:val="24"/>
      <w:szCs w:val="24"/>
      <w:lang w:eastAsia="zh-CN" w:bidi="hi-IN"/>
    </w:rPr>
  </w:style>
  <w:style w:type="character" w:styleId="Internethivatkozs">
    <w:name w:val="Internet-hivatkozás"/>
    <w:basedOn w:val="DefaultParagraphFont"/>
    <w:uiPriority w:val="99"/>
    <w:unhideWhenUsed/>
    <w:rsid w:val="00055055"/>
    <w:rPr>
      <w:color w:val="0563C1" w:themeColor="hyperlink"/>
      <w:u w:val="single"/>
    </w:rPr>
  </w:style>
  <w:style w:type="character" w:styleId="Megemlts1" w:customStyle="1">
    <w:name w:val="Megemlítés1"/>
    <w:basedOn w:val="DefaultParagraphFont"/>
    <w:uiPriority w:val="99"/>
    <w:semiHidden/>
    <w:unhideWhenUsed/>
    <w:qFormat/>
    <w:rsid w:val="003d66f1"/>
    <w:rPr>
      <w:color w:val="2B579A"/>
      <w:shd w:fill="E6E6E6" w:val="clear"/>
    </w:rPr>
  </w:style>
  <w:style w:type="character" w:styleId="LbjegyzetszvegChar" w:customStyle="1">
    <w:name w:val="Lábjegyzetszöveg Char"/>
    <w:basedOn w:val="DefaultParagraphFont"/>
    <w:link w:val="Lbjegyzetszveg"/>
    <w:uiPriority w:val="99"/>
    <w:semiHidden/>
    <w:qFormat/>
    <w:rsid w:val="00d2712c"/>
    <w:rPr>
      <w:rFonts w:ascii="Times New Roman" w:hAnsi="Times New Roman" w:eastAsia="Times New Roman" w:cs="Times New Roman"/>
      <w:sz w:val="20"/>
      <w:szCs w:val="20"/>
      <w:lang w:eastAsia="hu-HU"/>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d2712c"/>
    <w:rPr>
      <w:vertAlign w:val="superscript"/>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Annotationreference">
    <w:name w:val="annotation reference"/>
    <w:basedOn w:val="DefaultParagraphFont"/>
    <w:uiPriority w:val="99"/>
    <w:semiHidden/>
    <w:unhideWhenUsed/>
    <w:qFormat/>
    <w:rsid w:val="0072797b"/>
    <w:rPr>
      <w:sz w:val="16"/>
      <w:szCs w:val="16"/>
    </w:rPr>
  </w:style>
  <w:style w:type="character" w:styleId="JegyzetszvegChar" w:customStyle="1">
    <w:name w:val="Jegyzetszöveg Char"/>
    <w:basedOn w:val="DefaultParagraphFont"/>
    <w:link w:val="Jegyzetszveg"/>
    <w:uiPriority w:val="99"/>
    <w:semiHidden/>
    <w:qFormat/>
    <w:rsid w:val="0072797b"/>
    <w:rPr>
      <w:rFonts w:ascii="Times New Roman" w:hAnsi="Times New Roman" w:eastAsia="Times New Roman" w:cs="Times New Roman"/>
      <w:color w:val="00000A"/>
      <w:szCs w:val="20"/>
      <w:lang w:eastAsia="hu-HU"/>
    </w:rPr>
  </w:style>
  <w:style w:type="character" w:styleId="MegjegyzstrgyaChar" w:customStyle="1">
    <w:name w:val="Megjegyzés tárgya Char"/>
    <w:basedOn w:val="JegyzetszvegChar"/>
    <w:link w:val="Megjegyzstrgya"/>
    <w:uiPriority w:val="99"/>
    <w:semiHidden/>
    <w:qFormat/>
    <w:rsid w:val="0072797b"/>
    <w:rPr>
      <w:rFonts w:ascii="Times New Roman" w:hAnsi="Times New Roman" w:eastAsia="Times New Roman" w:cs="Times New Roman"/>
      <w:b/>
      <w:bCs/>
      <w:color w:val="00000A"/>
      <w:szCs w:val="20"/>
      <w:lang w:eastAsia="hu-HU"/>
    </w:rPr>
  </w:style>
  <w:style w:type="character" w:styleId="BuborkszvegChar" w:customStyle="1">
    <w:name w:val="Buborékszöveg Char"/>
    <w:basedOn w:val="DefaultParagraphFont"/>
    <w:link w:val="Buborkszveg"/>
    <w:uiPriority w:val="99"/>
    <w:semiHidden/>
    <w:qFormat/>
    <w:rsid w:val="0072797b"/>
    <w:rPr>
      <w:rFonts w:ascii="Segoe UI" w:hAnsi="Segoe UI" w:eastAsia="Times New Roman" w:cs="Segoe UI"/>
      <w:color w:val="00000A"/>
      <w:sz w:val="18"/>
      <w:szCs w:val="18"/>
      <w:lang w:eastAsia="hu-HU"/>
    </w:rPr>
  </w:style>
  <w:style w:type="character" w:styleId="UnresolvedMention" w:customStyle="1">
    <w:name w:val="Unresolved Mention"/>
    <w:basedOn w:val="DefaultParagraphFont"/>
    <w:uiPriority w:val="99"/>
    <w:semiHidden/>
    <w:unhideWhenUsed/>
    <w:qFormat/>
    <w:rsid w:val="00f04452"/>
    <w:rPr>
      <w:color w:val="808080"/>
      <w:shd w:fill="E6E6E6"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rsid w:val="0080318a"/>
    <w:pPr>
      <w:spacing w:lineRule="auto" w:line="288" w:before="0" w:after="140"/>
      <w:jc w:val="left"/>
      <w:textAlignment w:val="auto"/>
    </w:pPr>
    <w:rPr>
      <w:rFonts w:ascii="Liberation Serif" w:hAnsi="Liberation Serif" w:eastAsia="SimSun" w:cs="Lucida Sans"/>
      <w:kern w:val="2"/>
      <w:sz w:val="24"/>
      <w:szCs w:val="24"/>
      <w:lang w:eastAsia="zh-CN" w:bidi="hi-IN"/>
    </w:rPr>
  </w:style>
  <w:style w:type="paragraph" w:styleId="Lista">
    <w:name w:val="List"/>
    <w:basedOn w:val="Szvegtrzs"/>
    <w:pPr/>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pPr>
    <w:rPr>
      <w:rFonts w:cs="Lucida Sans"/>
      <w:i/>
      <w:iCs/>
      <w:sz w:val="24"/>
      <w:szCs w:val="24"/>
    </w:rPr>
  </w:style>
  <w:style w:type="paragraph" w:styleId="ListParagraph">
    <w:name w:val="List Paragraph"/>
    <w:basedOn w:val="Normal"/>
    <w:autoRedefine/>
    <w:uiPriority w:val="34"/>
    <w:qFormat/>
    <w:rsid w:val="00595fc8"/>
    <w:pPr>
      <w:spacing w:before="0" w:after="0"/>
      <w:textAlignment w:val="auto"/>
    </w:pPr>
    <w:rPr>
      <w:rFonts w:eastAsia="Calibri" w:cs="" w:cstheme="minorBidi" w:eastAsiaTheme="minorHAnsi"/>
      <w:b/>
      <w:szCs w:val="20"/>
      <w:lang w:eastAsia="en-US"/>
    </w:rPr>
  </w:style>
  <w:style w:type="paragraph" w:styleId="NoSpacing">
    <w:name w:val="No Spacing"/>
    <w:autoRedefine/>
    <w:uiPriority w:val="1"/>
    <w:qFormat/>
    <w:rsid w:val="00c33f4e"/>
    <w:pPr>
      <w:widowControl/>
      <w:bidi w:val="0"/>
      <w:spacing w:before="0" w:after="0"/>
      <w:contextualSpacing/>
      <w:jc w:val="both"/>
      <w:textAlignment w:val="baseline"/>
    </w:pPr>
    <w:rPr>
      <w:rFonts w:ascii="Times New Roman" w:hAnsi="Times New Roman" w:eastAsia="Times New Roman" w:cs="Times New Roman"/>
      <w:color w:val="00000A"/>
      <w:kern w:val="0"/>
      <w:sz w:val="20"/>
      <w:szCs w:val="22"/>
      <w:lang w:eastAsia="hu-HU" w:val="hu-HU" w:bidi="ar-SA"/>
    </w:rPr>
  </w:style>
  <w:style w:type="paragraph" w:styleId="Cm">
    <w:name w:val="Title"/>
    <w:basedOn w:val="Normal"/>
    <w:link w:val="CmChar"/>
    <w:uiPriority w:val="10"/>
    <w:qFormat/>
    <w:rsid w:val="0046584d"/>
    <w:pPr>
      <w:spacing w:before="240" w:after="480"/>
      <w:contextualSpacing/>
      <w:jc w:val="center"/>
    </w:pPr>
    <w:rPr>
      <w:rFonts w:eastAsia="" w:cs="" w:cstheme="majorBidi" w:eastAsiaTheme="majorEastAsia"/>
      <w:b/>
      <w:spacing w:val="-10"/>
      <w:kern w:val="2"/>
      <w:sz w:val="32"/>
      <w:szCs w:val="56"/>
    </w:rPr>
  </w:style>
  <w:style w:type="paragraph" w:styleId="Lfejsllb">
    <w:name w:val="Élőfej és élőláb"/>
    <w:basedOn w:val="Normal"/>
    <w:qFormat/>
    <w:pPr/>
    <w:rPr/>
  </w:style>
  <w:style w:type="paragraph" w:styleId="Lfej">
    <w:name w:val="Header"/>
    <w:basedOn w:val="Normal"/>
    <w:uiPriority w:val="99"/>
    <w:unhideWhenUsed/>
    <w:rsid w:val="000e1e7d"/>
    <w:pPr>
      <w:tabs>
        <w:tab w:val="clear" w:pos="708"/>
        <w:tab w:val="center" w:pos="4536" w:leader="none"/>
        <w:tab w:val="right" w:pos="9072" w:leader="none"/>
      </w:tabs>
      <w:spacing w:before="0" w:after="0"/>
    </w:pPr>
    <w:rPr/>
  </w:style>
  <w:style w:type="paragraph" w:styleId="Llb">
    <w:name w:val="Footer"/>
    <w:basedOn w:val="Normal"/>
    <w:uiPriority w:val="99"/>
    <w:unhideWhenUsed/>
    <w:rsid w:val="000e1e7d"/>
    <w:pPr>
      <w:tabs>
        <w:tab w:val="clear" w:pos="708"/>
        <w:tab w:val="center" w:pos="4536" w:leader="none"/>
        <w:tab w:val="right" w:pos="9072" w:leader="none"/>
      </w:tabs>
      <w:spacing w:before="0" w:after="0"/>
    </w:pPr>
    <w:rPr/>
  </w:style>
  <w:style w:type="paragraph" w:styleId="Tblzattartalom" w:customStyle="1">
    <w:name w:val="Táblázattartalom"/>
    <w:basedOn w:val="Normal"/>
    <w:qFormat/>
    <w:pPr>
      <w:suppressLineNumbers/>
    </w:pPr>
    <w:rPr/>
  </w:style>
  <w:style w:type="paragraph" w:styleId="Tblzatfejlc" w:customStyle="1">
    <w:name w:val="Táblázatfejléc"/>
    <w:basedOn w:val="Tblzattartalom"/>
    <w:qFormat/>
    <w:pPr>
      <w:jc w:val="center"/>
    </w:pPr>
    <w:rPr>
      <w:b/>
      <w:bCs/>
    </w:rPr>
  </w:style>
  <w:style w:type="paragraph" w:styleId="Lbjegyzet">
    <w:name w:val="Footnote Text"/>
    <w:basedOn w:val="Normal"/>
    <w:link w:val="LbjegyzetszvegChar"/>
    <w:pPr/>
    <w:rPr/>
  </w:style>
  <w:style w:type="paragraph" w:styleId="TOCHeading">
    <w:name w:val="TOC Heading"/>
    <w:basedOn w:val="Cmsor1"/>
    <w:next w:val="Normal"/>
    <w:uiPriority w:val="39"/>
    <w:unhideWhenUsed/>
    <w:qFormat/>
    <w:rsid w:val="00055055"/>
    <w:pPr>
      <w:spacing w:lineRule="auto" w:line="259" w:before="240" w:after="0"/>
      <w:jc w:val="left"/>
    </w:pPr>
    <w:rPr>
      <w:rFonts w:ascii="Calibri Light" w:hAnsi="Calibri Light" w:asciiTheme="majorHAnsi" w:hAnsiTheme="majorHAnsi"/>
      <w:b w:val="false"/>
      <w:color w:val="2F5496" w:themeColor="accent1" w:themeShade="bf"/>
      <w:sz w:val="32"/>
      <w:lang w:eastAsia="hu-HU"/>
    </w:rPr>
  </w:style>
  <w:style w:type="paragraph" w:styleId="Tartalomjegyzk2">
    <w:name w:val="TOC 2"/>
    <w:basedOn w:val="Normal"/>
    <w:next w:val="Normal"/>
    <w:autoRedefine/>
    <w:uiPriority w:val="39"/>
    <w:unhideWhenUsed/>
    <w:rsid w:val="00055055"/>
    <w:pPr>
      <w:spacing w:before="120" w:after="100"/>
      <w:ind w:left="220" w:hanging="0"/>
    </w:pPr>
    <w:rPr/>
  </w:style>
  <w:style w:type="paragraph" w:styleId="Annotationtext">
    <w:name w:val="annotation text"/>
    <w:basedOn w:val="Normal"/>
    <w:link w:val="JegyzetszvegChar"/>
    <w:uiPriority w:val="99"/>
    <w:semiHidden/>
    <w:unhideWhenUsed/>
    <w:qFormat/>
    <w:rsid w:val="0072797b"/>
    <w:pPr/>
    <w:rPr>
      <w:szCs w:val="20"/>
    </w:rPr>
  </w:style>
  <w:style w:type="paragraph" w:styleId="Annotationsubject">
    <w:name w:val="annotation subject"/>
    <w:basedOn w:val="Annotationtext"/>
    <w:next w:val="Annotationtext"/>
    <w:link w:val="MegjegyzstrgyaChar"/>
    <w:uiPriority w:val="99"/>
    <w:semiHidden/>
    <w:unhideWhenUsed/>
    <w:qFormat/>
    <w:rsid w:val="0072797b"/>
    <w:pPr/>
    <w:rPr>
      <w:b/>
      <w:bCs/>
    </w:rPr>
  </w:style>
  <w:style w:type="paragraph" w:styleId="BalloonText">
    <w:name w:val="Balloon Text"/>
    <w:basedOn w:val="Normal"/>
    <w:link w:val="BuborkszvegChar"/>
    <w:uiPriority w:val="99"/>
    <w:semiHidden/>
    <w:unhideWhenUsed/>
    <w:qFormat/>
    <w:rsid w:val="0072797b"/>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ec34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jna@bajna.h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9926-9040-43DF-9076-F538032C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LibreOffice/7.0.6.2$Windows_X86_64 LibreOffice_project/144abb84a525d8e30c9dbbefa69cbbf2d8d4ae3b</Application>
  <AppVersion>15.0000</AppVersion>
  <DocSecurity>0</DocSecurity>
  <Pages>18</Pages>
  <Words>3763</Words>
  <Characters>29004</Characters>
  <CharactersWithSpaces>32195</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2018-12-15T03:36:00Z</dcterms:created>
  <dc:creator>Kedves Zoltán</dc:creator>
  <dc:description/>
  <dc:language>hu-HU</dc:language>
  <cp:lastModifiedBy>Dr. Török Tamás</cp:lastModifiedBy>
  <dcterms:modified xsi:type="dcterms:W3CDTF">2022-01-13T14:30:20Z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